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104"/>
        <w:gridCol w:w="2991"/>
        <w:gridCol w:w="5659"/>
        <w:tblGridChange w:id="0">
          <w:tblGrid>
            <w:gridCol w:w="2104"/>
            <w:gridCol w:w="2991"/>
            <w:gridCol w:w="5659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4162.010.26.1.4419-2025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MAYERLIN JARAMILLO CABRERA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67.021.366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05/nov/2025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los lineamientos estratégicos que promuevan el Desarrollo Institucional, brindando apoyo en la recepción, radicación, verificación y seguimiento de los documentos e informes del área de Fomento y de los contratistas, asegurando el control físico y digital de la información y su registro en plataformas como Drive, SECOP y el sistema de Gestión de Contratistas.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3.Colaborar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4.Garantizar el cumplimiento del 100 % de las actividades asignadas relacionadas con el desarrollo del objeto contractual.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51">
            <w:pPr>
              <w:spacing w:after="240" w:befor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1.Apoyé la implementación de las directrices orientadas al fortalecimiento institucional, mediante el acompañamiento en los procesos de recepción, registro, revisión y control de los documentos e informes generados por el área de Fomento y por los contratistas. Esta labor incluye garantizar la adecuada organización, custodia y trazabilidad de la información tanto en formato físico como digital, así como su correcta carga y actualización en el drive.</w:t>
            </w:r>
          </w:p>
          <w:p w:rsidR="00000000" w:rsidDel="00000000" w:rsidP="00000000" w:rsidRDefault="00000000" w:rsidRPr="00000000" w14:paraId="00000052">
            <w:pPr>
              <w:spacing w:after="240" w:befor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2.Apoyé en la recolección, clasificación y sistematización de la información relacionada con el desarrollo del proyecto, asimismo, colaboró en la administración de cuentas, recepción y revisión de los expedientes contractuales, verificación del avance de los trámites administrativos y respuesta a solicitudes o requerimientos, asegurando la entrega oportuna de los productos conforme a las directrices establecidas por el programa.</w:t>
            </w:r>
          </w:p>
          <w:p w:rsidR="00000000" w:rsidDel="00000000" w:rsidP="00000000" w:rsidRDefault="00000000" w:rsidRPr="00000000" w14:paraId="00000053">
            <w:pPr>
              <w:spacing w:after="240" w:befor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240" w:befor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3.Colaboré en la mesa de trabajo convocada por el área técnica, con el propósito de analizar y verificar el estado del proceso de cuentas correspondiente a los prestadores de servicio que brindan apoyo a las actividades operativas del programa. Esta labor la realicé con el objetivo de garantizar la actualización, revisión y cumplimiento oportuno de los procedimientos administrativos y financieros establecidos.</w:t>
            </w:r>
          </w:p>
          <w:p w:rsidR="00000000" w:rsidDel="00000000" w:rsidP="00000000" w:rsidRDefault="00000000" w:rsidRPr="00000000" w14:paraId="00000055">
            <w:pPr>
              <w:spacing w:after="240" w:befor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4.Garanticé el cumplimiento oportuno y organizado del proceso de entrega de las tarjetas del MÍO a los beneficiarios del programa, verificando previamente que cada usuario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contara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con la documentación requerida para acceder a este beneficio. Esta gestión me permitió garantizar que los participantes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recibieran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de manera efectiva el apoyo en transporte, facilitado gracias a los recursos provenientes de la Tasa ProDeporte, contribuyendo así al fortalecimiento de la participación y permanencia de los beneficiarios en las diferentes actividades deportivas y recreativas.</w:t>
            </w:r>
          </w:p>
        </w:tc>
      </w:tr>
      <w:tr>
        <w:trPr>
          <w:cantSplit w:val="0"/>
          <w:trHeight w:val="144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ff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sz w:val="16"/>
                  <w:szCs w:val="16"/>
                  <w:u w:val="single"/>
                  <w:rtl w:val="0"/>
                </w:rPr>
                <w:t xml:space="preserve">https://drive.google.com/drive/folders/1FCTjR_a5C1Zls5hSJbuBlywfLBUJvisX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8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88902</wp:posOffset>
                  </wp:positionH>
                  <wp:positionV relativeFrom="paragraph">
                    <wp:posOffset>-18413</wp:posOffset>
                  </wp:positionV>
                  <wp:extent cx="1581150" cy="314325"/>
                  <wp:effectExtent b="0" l="0" r="0" t="0"/>
                  <wp:wrapNone/>
                  <wp:docPr id="114297866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3143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5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</w:tr>
    </w:tbl>
    <w:p w:rsidR="00000000" w:rsidDel="00000000" w:rsidP="00000000" w:rsidRDefault="00000000" w:rsidRPr="00000000" w14:paraId="0000006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2528B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528B1"/>
    <w:rPr>
      <w:color w:val="605e5c"/>
      <w:shd w:color="auto" w:fill="e1dfdd" w:val="clear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FCTjR_a5C1Zls5hSJbuBlywfLBUJvisX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T74iLFqtLvWgNDSqXIA3KE1Dkw==">CgMxLjA4AHIhMXBQRTc0V0lOenJKOVlzVTJsbEFObUJPT2pWTmZnOHJ4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2025-11-07T03:13:00Z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